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15,</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as DOI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4</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0.4180809</w:t>
            </w:r>
          </w:p>
        </w:tc>
        <w:tc>
          <w:tcPr/>
          <w:p>
            <w:pPr>
              <w:pStyle w:val="Compact"/>
              <w:jc w:val="right"/>
            </w:pPr>
            <w:r>
              <w:t xml:space="preserve">0.5178962</w:t>
            </w:r>
          </w:p>
        </w:tc>
      </w:tr>
      <w:tr>
        <w:tc>
          <w:tcPr/>
          <w:p>
            <w:pPr>
              <w:pStyle w:val="Compact"/>
              <w:jc w:val="left"/>
            </w:pPr>
            <w:r>
              <w:t xml:space="preserve">BL</w:t>
            </w:r>
          </w:p>
        </w:tc>
        <w:tc>
          <w:tcPr/>
          <w:p>
            <w:pPr>
              <w:pStyle w:val="Compact"/>
              <w:jc w:val="right"/>
            </w:pPr>
            <w:r>
              <w:t xml:space="preserve">0.3578870</w:t>
            </w:r>
          </w:p>
        </w:tc>
        <w:tc>
          <w:tcPr/>
          <w:p>
            <w:pPr>
              <w:pStyle w:val="Compact"/>
              <w:jc w:val="right"/>
            </w:pPr>
            <w:r>
              <w:t xml:space="preserve">0.5496821</w:t>
            </w:r>
          </w:p>
        </w:tc>
      </w:tr>
      <w:tr>
        <w:tc>
          <w:tcPr/>
          <w:p>
            <w:pPr>
              <w:pStyle w:val="Compact"/>
              <w:jc w:val="left"/>
            </w:pPr>
            <w:r>
              <w:t xml:space="preserve">TL</w:t>
            </w:r>
          </w:p>
        </w:tc>
        <w:tc>
          <w:tcPr/>
          <w:p>
            <w:pPr>
              <w:pStyle w:val="Compact"/>
              <w:jc w:val="right"/>
            </w:pPr>
            <w:r>
              <w:t xml:space="preserve">-0.0062324</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0.4779680</w:t>
            </w:r>
          </w:p>
        </w:tc>
        <w:tc>
          <w:tcPr/>
          <w:p>
            <w:pPr>
              <w:pStyle w:val="Compact"/>
              <w:jc w:val="right"/>
            </w:pPr>
            <w:r>
              <w:t xml:space="preserve">0.4893442</w:t>
            </w:r>
          </w:p>
        </w:tc>
      </w:tr>
      <w:tr>
        <w:tc>
          <w:tcPr/>
          <w:p>
            <w:pPr>
              <w:pStyle w:val="Compact"/>
              <w:jc w:val="left"/>
            </w:pPr>
            <w:r>
              <w:t xml:space="preserve">MW</w:t>
            </w:r>
          </w:p>
        </w:tc>
        <w:tc>
          <w:tcPr/>
          <w:p>
            <w:pPr>
              <w:pStyle w:val="Compact"/>
              <w:jc w:val="right"/>
            </w:pPr>
            <w:r>
              <w:t xml:space="preserve">0.7832985</w:t>
            </w:r>
          </w:p>
        </w:tc>
        <w:tc>
          <w:tcPr/>
          <w:p>
            <w:pPr>
              <w:pStyle w:val="Compact"/>
              <w:jc w:val="right"/>
            </w:pPr>
            <w:r>
              <w:t xml:space="preserve">0.3761342</w:t>
            </w:r>
          </w:p>
        </w:tc>
      </w:tr>
      <w:tr>
        <w:tc>
          <w:tcPr/>
          <w:p>
            <w:pPr>
              <w:pStyle w:val="Compact"/>
              <w:jc w:val="left"/>
            </w:pPr>
            <w:r>
              <w:t xml:space="preserve">TW</w:t>
            </w:r>
          </w:p>
        </w:tc>
        <w:tc>
          <w:tcPr/>
          <w:p>
            <w:pPr>
              <w:pStyle w:val="Compact"/>
              <w:jc w:val="right"/>
            </w:pPr>
            <w:r>
              <w:t xml:space="preserve">0.7192866</w:t>
            </w:r>
          </w:p>
        </w:tc>
        <w:tc>
          <w:tcPr/>
          <w:p>
            <w:pPr>
              <w:pStyle w:val="Compact"/>
              <w:jc w:val="right"/>
            </w:pPr>
            <w:r>
              <w:t xml:space="preserve">0.3963780</w:t>
            </w:r>
          </w:p>
        </w:tc>
      </w:tr>
      <w:tr>
        <w:tc>
          <w:tcPr/>
          <w:p>
            <w:pPr>
              <w:pStyle w:val="Compact"/>
              <w:jc w:val="left"/>
            </w:pPr>
            <w:r>
              <w:t xml:space="preserve">SW</w:t>
            </w:r>
          </w:p>
        </w:tc>
        <w:tc>
          <w:tcPr/>
          <w:p>
            <w:pPr>
              <w:pStyle w:val="Compact"/>
              <w:jc w:val="right"/>
            </w:pPr>
            <w:r>
              <w:t xml:space="preserve">0.0337351</w:t>
            </w:r>
          </w:p>
        </w:tc>
        <w:tc>
          <w:tcPr/>
          <w:p>
            <w:pPr>
              <w:pStyle w:val="Compact"/>
              <w:jc w:val="right"/>
            </w:pPr>
            <w:r>
              <w:t xml:space="preserve">0.8542715</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2" w:name="references"/>
    <w:p>
      <w:pPr>
        <w:pStyle w:val="Heading1"/>
      </w:pPr>
      <w:r>
        <w:t xml:space="preserve">References</w:t>
      </w:r>
    </w:p>
    <w:bookmarkStart w:id="150"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1"/>
    <w:bookmarkStart w:id="142"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2"/>
    <w:bookmarkStart w:id="143" w:name="ref-thulman2012discriminating"/>
    <w:p>
      <w:pPr>
        <w:pStyle w:val="Bibliography"/>
      </w:pPr>
      <w:r>
        <w:t xml:space="preserve">Thulman, D.K., 2012. Discriminating paleoindian point types from florida using landmark geometric morphometrics. Journal of Archaeological Science 39, 1599–1607.</w:t>
      </w:r>
    </w:p>
    <w:bookmarkEnd w:id="143"/>
    <w:bookmarkStart w:id="144"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4"/>
    <w:bookmarkStart w:id="145" w:name="ref-vangel1996confidence"/>
    <w:p>
      <w:pPr>
        <w:pStyle w:val="Bibliography"/>
      </w:pPr>
      <w:r>
        <w:t xml:space="preserve">Vangel, M.G., 1996. Confidence intervals for a normal coefficient of variation. The American Statistician 50, 21–26.</w:t>
      </w:r>
    </w:p>
    <w:bookmarkEnd w:id="145"/>
    <w:bookmarkStart w:id="146" w:name="ref-vanpool2011quantitative"/>
    <w:p>
      <w:pPr>
        <w:pStyle w:val="Bibliography"/>
      </w:pPr>
      <w:r>
        <w:t xml:space="preserve">VanPool, T.L., Leonard, R.D., 2011. Quantitative analysis in archaeology. John Wiley &amp; Sons.</w:t>
      </w:r>
    </w:p>
    <w:bookmarkEnd w:id="146"/>
    <w:bookmarkStart w:id="147" w:name="ref-wierer2013variability"/>
    <w:p>
      <w:pPr>
        <w:pStyle w:val="Bibliography"/>
      </w:pPr>
      <w:r>
        <w:t xml:space="preserve">Wierer, U., 2013. Variability and standardization: The early gravettian lithic complex of grotta paglicci, southern italy. Quaternary International 288, 215–238.</w:t>
      </w:r>
    </w:p>
    <w:bookmarkEnd w:id="147"/>
    <w:bookmarkStart w:id="148"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8"/>
    <w:bookmarkStart w:id="149"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9"/>
    <w:bookmarkEnd w:id="150"/>
    <w:p>
      <w:r>
        <w:br w:type="page"/>
      </w:r>
    </w:p>
    <w:bookmarkStart w:id="151" w:name="colophon"/>
    <w:p>
      <w:pPr>
        <w:pStyle w:val="Heading3"/>
      </w:pPr>
      <w:r>
        <w:t xml:space="preserve">Colophon</w:t>
      </w:r>
    </w:p>
    <w:p>
      <w:pPr>
        <w:pStyle w:val="FirstParagraph"/>
      </w:pPr>
      <w:r>
        <w:t xml:space="preserve">This report was generated on 2022-10-15 11:15:09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[4d4be41] 2022-10-15: Changed the order of the results and edit the text and plot</w:t>
      </w:r>
    </w:p>
    <w:bookmarkEnd w:id="151"/>
    <w:bookmarkEnd w:id="15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2022-10-15T18:15:12Z</dcterms:created>
  <dcterms:modified xsi:type="dcterms:W3CDTF">2022-10-15T18:15:12Z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